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E315B" w14:textId="77777777" w:rsidR="00700F2C" w:rsidRDefault="000C5E98">
      <w:pPr>
        <w:spacing w:after="0" w:line="259" w:lineRule="auto"/>
        <w:ind w:left="0" w:right="0" w:firstLine="0"/>
        <w:rPr>
          <w:b/>
          <w:sz w:val="28"/>
        </w:rPr>
      </w:pPr>
      <w:r>
        <w:rPr>
          <w:b/>
          <w:noProof/>
          <w:sz w:val="28"/>
        </w:rPr>
        <w:drawing>
          <wp:inline distT="0" distB="0" distL="0" distR="0" wp14:anchorId="5348470E" wp14:editId="16DABCA7">
            <wp:extent cx="1554480" cy="731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4480" cy="731520"/>
                    </a:xfrm>
                    <a:prstGeom prst="rect">
                      <a:avLst/>
                    </a:prstGeom>
                    <a:noFill/>
                  </pic:spPr>
                </pic:pic>
              </a:graphicData>
            </a:graphic>
          </wp:inline>
        </w:drawing>
      </w:r>
    </w:p>
    <w:p w14:paraId="39083C90" w14:textId="77777777" w:rsidR="0008106F" w:rsidRPr="00700F2C" w:rsidRDefault="00614714" w:rsidP="00700F2C">
      <w:pPr>
        <w:pStyle w:val="Heading1"/>
      </w:pPr>
      <w:r w:rsidRPr="00700F2C">
        <w:t xml:space="preserve">Chemical Spills, Releases, Explosions, Exposures, or Injuries </w:t>
      </w:r>
    </w:p>
    <w:p w14:paraId="0C082540" w14:textId="77777777" w:rsidR="0008106F" w:rsidRPr="00700F2C" w:rsidRDefault="00614714">
      <w:pPr>
        <w:spacing w:after="0" w:line="259" w:lineRule="auto"/>
        <w:ind w:left="-5" w:right="0"/>
        <w:rPr>
          <w:sz w:val="24"/>
        </w:rPr>
      </w:pPr>
      <w:r w:rsidRPr="00700F2C">
        <w:rPr>
          <w:b/>
          <w:sz w:val="24"/>
        </w:rPr>
        <w:t xml:space="preserve">(includes corrosive, reactive, flammable, and toxic chemicals in solid, liquid or gas form) </w:t>
      </w:r>
    </w:p>
    <w:p w14:paraId="2F89BFEC" w14:textId="71C94349" w:rsidR="0008106F" w:rsidRPr="00700F2C" w:rsidRDefault="00614714" w:rsidP="00700F2C">
      <w:pPr>
        <w:spacing w:after="0" w:line="259" w:lineRule="auto"/>
        <w:ind w:left="0" w:right="0" w:firstLine="0"/>
        <w:rPr>
          <w:sz w:val="24"/>
        </w:rPr>
      </w:pPr>
      <w:r>
        <w:rPr>
          <w:sz w:val="24"/>
        </w:rPr>
        <w:t xml:space="preserve"> </w:t>
      </w:r>
      <w:r w:rsidRPr="00700F2C">
        <w:rPr>
          <w:b/>
          <w:sz w:val="24"/>
        </w:rPr>
        <w:t>EHS Contact</w:t>
      </w:r>
      <w:r w:rsidR="00042681">
        <w:rPr>
          <w:b/>
          <w:sz w:val="24"/>
        </w:rPr>
        <w:t xml:space="preserve">: </w:t>
      </w:r>
      <w:r w:rsidR="00042681" w:rsidRPr="00FF3AF2">
        <w:rPr>
          <w:bCs/>
          <w:sz w:val="24"/>
        </w:rPr>
        <w:t>(814) 865-6391</w:t>
      </w:r>
      <w:r w:rsidR="00042681" w:rsidRPr="00700F2C">
        <w:rPr>
          <w:sz w:val="24"/>
        </w:rPr>
        <w:t xml:space="preserve"> </w:t>
      </w:r>
    </w:p>
    <w:p w14:paraId="52949900" w14:textId="77777777" w:rsidR="0008106F" w:rsidRPr="00700F2C" w:rsidRDefault="00614714" w:rsidP="00700F2C">
      <w:pPr>
        <w:pStyle w:val="Heading2"/>
      </w:pPr>
      <w:r w:rsidRPr="00700F2C">
        <w:t xml:space="preserve">Procedures/Notifications/Documentation/Follow-Up:  </w:t>
      </w:r>
    </w:p>
    <w:p w14:paraId="29BE6DCB" w14:textId="77777777" w:rsidR="0008106F" w:rsidRPr="00700F2C" w:rsidRDefault="00614714">
      <w:pPr>
        <w:ind w:left="-5" w:right="0"/>
        <w:rPr>
          <w:sz w:val="24"/>
        </w:rPr>
      </w:pPr>
      <w:r w:rsidRPr="00700F2C">
        <w:rPr>
          <w:sz w:val="24"/>
        </w:rPr>
        <w:t xml:space="preserve">Facilities that have a Preparedness, Prevention, and Contingency (PPC) Plan, must follow the procedures outlined in that plan. For other facilities, the following apply: </w:t>
      </w:r>
    </w:p>
    <w:p w14:paraId="0986C197" w14:textId="77777777" w:rsidR="0008106F" w:rsidRPr="00700F2C" w:rsidRDefault="00614714" w:rsidP="00700F2C">
      <w:pPr>
        <w:pStyle w:val="Heading2"/>
      </w:pPr>
      <w:r w:rsidRPr="00700F2C">
        <w:rPr>
          <w:u w:color="000000"/>
        </w:rPr>
        <w:t>When to Report</w:t>
      </w:r>
      <w:r w:rsidRPr="00700F2C">
        <w:t xml:space="preserve">: </w:t>
      </w:r>
    </w:p>
    <w:p w14:paraId="11BD8437" w14:textId="77777777" w:rsidR="0008106F" w:rsidRPr="00700F2C" w:rsidRDefault="00614714">
      <w:pPr>
        <w:numPr>
          <w:ilvl w:val="0"/>
          <w:numId w:val="1"/>
        </w:numPr>
        <w:ind w:right="0" w:hanging="360"/>
        <w:rPr>
          <w:sz w:val="24"/>
        </w:rPr>
      </w:pPr>
      <w:r w:rsidRPr="00700F2C">
        <w:rPr>
          <w:sz w:val="24"/>
        </w:rPr>
        <w:t xml:space="preserve">All chemical exposures or explosions requiring medical attention must be immediately reported to EHS after emergency procedures have been implemented.   </w:t>
      </w:r>
    </w:p>
    <w:p w14:paraId="2E85FAF6" w14:textId="77777777" w:rsidR="0008106F" w:rsidRPr="00700F2C" w:rsidRDefault="00614714">
      <w:pPr>
        <w:numPr>
          <w:ilvl w:val="0"/>
          <w:numId w:val="1"/>
        </w:numPr>
        <w:ind w:right="0" w:hanging="360"/>
        <w:rPr>
          <w:sz w:val="24"/>
        </w:rPr>
      </w:pPr>
      <w:r w:rsidRPr="00700F2C">
        <w:rPr>
          <w:sz w:val="24"/>
        </w:rPr>
        <w:t xml:space="preserve">All spills/releases that result in bodily injury, enter surface water, are highly hazardous, or larger than 1 gallon must be reported to EHS immediately after emergency procedures have been taken.  This includes highly hazardous materials chemicals such as hydrofluoric acid, methylmercury, chlorine gas, bromine, sulfuric acid, etc.  If you are not sure, call EHS. For spills to paved surfaces or floors that have been cleaned-up, please report within 24 hours. </w:t>
      </w:r>
    </w:p>
    <w:p w14:paraId="64F9860F" w14:textId="77777777" w:rsidR="0008106F" w:rsidRPr="00700F2C" w:rsidRDefault="00614714" w:rsidP="00700F2C">
      <w:pPr>
        <w:pStyle w:val="Heading2"/>
      </w:pPr>
      <w:r w:rsidRPr="00700F2C">
        <w:rPr>
          <w:u w:color="000000"/>
        </w:rPr>
        <w:t>What to Report</w:t>
      </w:r>
      <w:r w:rsidRPr="00700F2C">
        <w:t xml:space="preserve">:  </w:t>
      </w:r>
    </w:p>
    <w:p w14:paraId="5398CD5B" w14:textId="77777777" w:rsidR="0008106F" w:rsidRPr="00700F2C" w:rsidRDefault="00614714">
      <w:pPr>
        <w:ind w:left="-5" w:right="0"/>
        <w:rPr>
          <w:sz w:val="24"/>
        </w:rPr>
      </w:pPr>
      <w:r w:rsidRPr="00700F2C">
        <w:rPr>
          <w:sz w:val="24"/>
        </w:rPr>
        <w:t xml:space="preserve">The following information is to be called into EHS initially, and then provided in writing.  For a small spill, a follow-up email will suffice.  </w:t>
      </w:r>
    </w:p>
    <w:p w14:paraId="280B0915" w14:textId="77777777" w:rsidR="0008106F" w:rsidRPr="00700F2C" w:rsidRDefault="00614714">
      <w:pPr>
        <w:numPr>
          <w:ilvl w:val="0"/>
          <w:numId w:val="1"/>
        </w:numPr>
        <w:ind w:right="0" w:hanging="360"/>
        <w:rPr>
          <w:sz w:val="24"/>
        </w:rPr>
      </w:pPr>
      <w:r w:rsidRPr="00700F2C">
        <w:rPr>
          <w:sz w:val="24"/>
        </w:rPr>
        <w:t xml:space="preserve">Name and title of person reporting incident </w:t>
      </w:r>
    </w:p>
    <w:p w14:paraId="4A68291E" w14:textId="77777777" w:rsidR="0008106F" w:rsidRPr="00700F2C" w:rsidRDefault="00614714">
      <w:pPr>
        <w:numPr>
          <w:ilvl w:val="0"/>
          <w:numId w:val="1"/>
        </w:numPr>
        <w:ind w:right="0" w:hanging="360"/>
        <w:rPr>
          <w:sz w:val="24"/>
        </w:rPr>
      </w:pPr>
      <w:r w:rsidRPr="00700F2C">
        <w:rPr>
          <w:sz w:val="24"/>
        </w:rPr>
        <w:t xml:space="preserve">Date, time and location of incident </w:t>
      </w:r>
    </w:p>
    <w:p w14:paraId="18FE5079" w14:textId="77777777" w:rsidR="0008106F" w:rsidRPr="00700F2C" w:rsidRDefault="00614714">
      <w:pPr>
        <w:numPr>
          <w:ilvl w:val="0"/>
          <w:numId w:val="1"/>
        </w:numPr>
        <w:ind w:right="0" w:hanging="360"/>
        <w:rPr>
          <w:sz w:val="24"/>
        </w:rPr>
      </w:pPr>
      <w:r w:rsidRPr="00700F2C">
        <w:rPr>
          <w:sz w:val="24"/>
        </w:rPr>
        <w:t xml:space="preserve">Phone number where the person reporting the incident can be reached </w:t>
      </w:r>
    </w:p>
    <w:p w14:paraId="6F61ECFF" w14:textId="77777777" w:rsidR="0008106F" w:rsidRPr="00700F2C" w:rsidRDefault="00614714">
      <w:pPr>
        <w:numPr>
          <w:ilvl w:val="0"/>
          <w:numId w:val="1"/>
        </w:numPr>
        <w:ind w:right="0" w:hanging="360"/>
        <w:rPr>
          <w:sz w:val="24"/>
        </w:rPr>
      </w:pPr>
      <w:r w:rsidRPr="00700F2C">
        <w:rPr>
          <w:sz w:val="24"/>
        </w:rPr>
        <w:t xml:space="preserve">Brief description of the incident  </w:t>
      </w:r>
    </w:p>
    <w:p w14:paraId="1ACDF7F0" w14:textId="77777777" w:rsidR="0008106F" w:rsidRPr="00700F2C" w:rsidRDefault="00614714">
      <w:pPr>
        <w:numPr>
          <w:ilvl w:val="0"/>
          <w:numId w:val="1"/>
        </w:numPr>
        <w:ind w:right="0" w:hanging="360"/>
        <w:rPr>
          <w:sz w:val="24"/>
        </w:rPr>
      </w:pPr>
      <w:r w:rsidRPr="00700F2C">
        <w:rPr>
          <w:sz w:val="24"/>
        </w:rPr>
        <w:t xml:space="preserve">Extent of contamination of land, water, or air, if known (e.g., bodies of water) </w:t>
      </w:r>
    </w:p>
    <w:p w14:paraId="6AAD6B0E" w14:textId="77777777" w:rsidR="0008106F" w:rsidRPr="00700F2C" w:rsidRDefault="00614714" w:rsidP="00700F2C">
      <w:pPr>
        <w:pStyle w:val="Heading2"/>
      </w:pPr>
      <w:r w:rsidRPr="00700F2C">
        <w:rPr>
          <w:u w:color="000000"/>
        </w:rPr>
        <w:t>Regulatory Reporting Requirements</w:t>
      </w:r>
      <w:r w:rsidRPr="00700F2C">
        <w:t xml:space="preserve">:   </w:t>
      </w:r>
    </w:p>
    <w:p w14:paraId="19F0F31F" w14:textId="77777777" w:rsidR="0008106F" w:rsidRPr="00700F2C" w:rsidRDefault="00614714">
      <w:pPr>
        <w:ind w:left="-5" w:right="0"/>
        <w:rPr>
          <w:sz w:val="24"/>
        </w:rPr>
      </w:pPr>
      <w:r w:rsidRPr="00700F2C">
        <w:rPr>
          <w:sz w:val="24"/>
        </w:rPr>
        <w:t xml:space="preserve">EHS stall will notify appropriate regulatory agencies for University Park and will work with facilities at other locations to determine reporting needs. </w:t>
      </w:r>
    </w:p>
    <w:p w14:paraId="4BABA97A" w14:textId="77777777" w:rsidR="0008106F" w:rsidRPr="00700F2C" w:rsidRDefault="00614714" w:rsidP="00700F2C">
      <w:pPr>
        <w:pStyle w:val="Heading2"/>
      </w:pPr>
      <w:r w:rsidRPr="00700F2C">
        <w:rPr>
          <w:u w:color="000000"/>
        </w:rPr>
        <w:t>Clean-Up</w:t>
      </w:r>
      <w:r w:rsidRPr="00700F2C">
        <w:t xml:space="preserve">:   </w:t>
      </w:r>
    </w:p>
    <w:p w14:paraId="13919686" w14:textId="77777777" w:rsidR="0008106F" w:rsidRDefault="00614714" w:rsidP="00700F2C">
      <w:pPr>
        <w:spacing w:after="5" w:line="248" w:lineRule="auto"/>
        <w:ind w:left="-5" w:right="0" w:hanging="10"/>
        <w:rPr>
          <w:sz w:val="24"/>
        </w:rPr>
      </w:pPr>
      <w:r w:rsidRPr="00700F2C">
        <w:rPr>
          <w:sz w:val="24"/>
        </w:rPr>
        <w:t xml:space="preserve">Small spills/releases are to be cleaned-up by the facility.  EHS will provide technical advice if requested. Used absorbent materials are to be </w:t>
      </w:r>
      <w:proofErr w:type="gramStart"/>
      <w:r w:rsidRPr="00700F2C">
        <w:rPr>
          <w:sz w:val="24"/>
        </w:rPr>
        <w:t>disposed</w:t>
      </w:r>
      <w:proofErr w:type="gramEnd"/>
      <w:r w:rsidRPr="00700F2C">
        <w:rPr>
          <w:sz w:val="24"/>
        </w:rPr>
        <w:t xml:space="preserve"> through the Chemical Waste Management Program.  </w:t>
      </w:r>
    </w:p>
    <w:p w14:paraId="1BA162A9" w14:textId="12CFB2BB" w:rsidR="00937842" w:rsidRPr="00937842" w:rsidRDefault="00937842" w:rsidP="00937842">
      <w:pPr>
        <w:tabs>
          <w:tab w:val="left" w:pos="1860"/>
        </w:tabs>
        <w:rPr>
          <w:sz w:val="24"/>
        </w:rPr>
      </w:pPr>
      <w:r>
        <w:rPr>
          <w:sz w:val="24"/>
        </w:rPr>
        <w:tab/>
      </w:r>
      <w:r>
        <w:rPr>
          <w:sz w:val="24"/>
        </w:rPr>
        <w:tab/>
      </w:r>
    </w:p>
    <w:sectPr w:rsidR="00937842" w:rsidRPr="00937842" w:rsidSect="00700F2C">
      <w:footerReference w:type="default" r:id="rId12"/>
      <w:pgSz w:w="12240" w:h="15840"/>
      <w:pgMar w:top="864" w:right="1296" w:bottom="720" w:left="1296"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6402" w14:textId="77777777" w:rsidR="00700F2C" w:rsidRDefault="00700F2C" w:rsidP="00700F2C">
      <w:pPr>
        <w:spacing w:after="0" w:line="240" w:lineRule="auto"/>
      </w:pPr>
      <w:r>
        <w:separator/>
      </w:r>
    </w:p>
  </w:endnote>
  <w:endnote w:type="continuationSeparator" w:id="0">
    <w:p w14:paraId="29F36928" w14:textId="77777777" w:rsidR="00700F2C" w:rsidRDefault="00700F2C" w:rsidP="0070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1530" w14:textId="1031E4E1" w:rsidR="00700F2C" w:rsidRPr="00700F2C" w:rsidRDefault="00A8199B" w:rsidP="00700F2C">
    <w:pPr>
      <w:ind w:left="-5" w:right="0"/>
      <w:rPr>
        <w:sz w:val="24"/>
      </w:rPr>
    </w:pPr>
    <w:r>
      <w:rPr>
        <w:sz w:val="24"/>
      </w:rPr>
      <w:t xml:space="preserve">Revised: </w:t>
    </w:r>
    <w:r w:rsidR="00937842">
      <w:rPr>
        <w:sz w:val="24"/>
      </w:rPr>
      <w:t>January 2024</w:t>
    </w:r>
    <w:r w:rsidR="00700F2C" w:rsidRPr="00700F2C">
      <w:rPr>
        <w:sz w:val="24"/>
      </w:rPr>
      <w:t xml:space="preserve"> </w:t>
    </w:r>
  </w:p>
  <w:p w14:paraId="6238A8FA" w14:textId="77777777" w:rsidR="00700F2C" w:rsidRDefault="00700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420F7" w14:textId="77777777" w:rsidR="00700F2C" w:rsidRDefault="00700F2C" w:rsidP="00700F2C">
      <w:pPr>
        <w:spacing w:after="0" w:line="240" w:lineRule="auto"/>
      </w:pPr>
      <w:r>
        <w:separator/>
      </w:r>
    </w:p>
  </w:footnote>
  <w:footnote w:type="continuationSeparator" w:id="0">
    <w:p w14:paraId="1B19C5C9" w14:textId="77777777" w:rsidR="00700F2C" w:rsidRDefault="00700F2C" w:rsidP="00700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6797"/>
    <w:multiLevelType w:val="hybridMultilevel"/>
    <w:tmpl w:val="E7FAE94C"/>
    <w:lvl w:ilvl="0" w:tplc="E3B2A306">
      <w:start w:val="1"/>
      <w:numFmt w:val="bullet"/>
      <w:lvlText w:val=""/>
      <w:lvlJc w:val="left"/>
      <w:pPr>
        <w:ind w:left="360"/>
      </w:pPr>
      <w:rPr>
        <w:rFonts w:ascii="Symbol" w:hAnsi="Symbol" w:hint="default"/>
        <w:b w:val="0"/>
        <w:i w:val="0"/>
        <w:strike w:val="0"/>
        <w:dstrike w:val="0"/>
        <w:color w:val="333333"/>
        <w:sz w:val="20"/>
        <w:szCs w:val="20"/>
        <w:u w:val="none" w:color="000000"/>
        <w:bdr w:val="none" w:sz="0" w:space="0" w:color="auto"/>
        <w:shd w:val="clear" w:color="auto" w:fill="auto"/>
        <w:vertAlign w:val="baseline"/>
      </w:rPr>
    </w:lvl>
    <w:lvl w:ilvl="1" w:tplc="6F98AD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1644E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8429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50B7C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D2CD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A890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EAAA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F20F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807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6F"/>
    <w:rsid w:val="00042681"/>
    <w:rsid w:val="0008106F"/>
    <w:rsid w:val="000C5E98"/>
    <w:rsid w:val="00614714"/>
    <w:rsid w:val="00700F2C"/>
    <w:rsid w:val="007A5563"/>
    <w:rsid w:val="00937842"/>
    <w:rsid w:val="00A8199B"/>
    <w:rsid w:val="00EB610B"/>
    <w:rsid w:val="00F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4816D"/>
  <w15:docId w15:val="{BA51E667-6B46-4F06-BC5A-FE55AF8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F2C"/>
    <w:pPr>
      <w:spacing w:after="100" w:afterAutospacing="1" w:line="247" w:lineRule="auto"/>
      <w:ind w:left="14" w:right="1022" w:hanging="14"/>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rsid w:val="00700F2C"/>
    <w:pPr>
      <w:spacing w:after="0" w:afterAutospacing="0" w:line="259" w:lineRule="auto"/>
      <w:ind w:left="0" w:right="0" w:firstLine="0"/>
      <w:outlineLvl w:val="0"/>
    </w:pPr>
    <w:rPr>
      <w:b/>
      <w:sz w:val="28"/>
    </w:rPr>
  </w:style>
  <w:style w:type="paragraph" w:styleId="Heading2">
    <w:name w:val="heading 2"/>
    <w:basedOn w:val="Normal"/>
    <w:next w:val="Normal"/>
    <w:link w:val="Heading2Char"/>
    <w:uiPriority w:val="9"/>
    <w:unhideWhenUsed/>
    <w:qFormat/>
    <w:rsid w:val="00700F2C"/>
    <w:pPr>
      <w:keepNext/>
      <w:keepLines/>
      <w:outlineLvl w:val="1"/>
    </w:pPr>
    <w:rPr>
      <w:rFonts w:eastAsiaTheme="majorEastAsia" w:cstheme="majorBidi"/>
      <w:color w:val="auto"/>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F2C"/>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700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F2C"/>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00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F2C"/>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700F2C"/>
    <w:rPr>
      <w:color w:val="0563C1" w:themeColor="hyperlink"/>
      <w:u w:val="single"/>
    </w:rPr>
  </w:style>
  <w:style w:type="character" w:customStyle="1" w:styleId="Heading2Char">
    <w:name w:val="Heading 2 Char"/>
    <w:basedOn w:val="DefaultParagraphFont"/>
    <w:link w:val="Heading2"/>
    <w:uiPriority w:val="9"/>
    <w:rsid w:val="00700F2C"/>
    <w:rPr>
      <w:rFonts w:ascii="Times New Roman" w:eastAsiaTheme="majorEastAsia" w:hAnsi="Times New Roman" w:cstheme="majorBidi"/>
      <w:sz w:val="24"/>
      <w:szCs w:val="26"/>
      <w:u w:val="single"/>
    </w:rPr>
  </w:style>
  <w:style w:type="character" w:styleId="UnresolvedMention">
    <w:name w:val="Unresolved Mention"/>
    <w:basedOn w:val="DefaultParagraphFont"/>
    <w:uiPriority w:val="99"/>
    <w:semiHidden/>
    <w:unhideWhenUsed/>
    <w:rsid w:val="0004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f317ce-352d-4398-a41e-4e5b04113dec" xsi:nil="true"/>
    <lcf76f155ced4ddcb4097134ff3c332f xmlns="b1ea5d08-27ec-499b-b077-644de0cfa6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7408DF40A8749A22C1B1465469FFF" ma:contentTypeVersion="14" ma:contentTypeDescription="Create a new document." ma:contentTypeScope="" ma:versionID="e0bd111e70f2c1b48153dddb44762175">
  <xsd:schema xmlns:xsd="http://www.w3.org/2001/XMLSchema" xmlns:xs="http://www.w3.org/2001/XMLSchema" xmlns:p="http://schemas.microsoft.com/office/2006/metadata/properties" xmlns:ns2="81f317ce-352d-4398-a41e-4e5b04113dec" xmlns:ns3="b1ea5d08-27ec-499b-b077-644de0cfa688" targetNamespace="http://schemas.microsoft.com/office/2006/metadata/properties" ma:root="true" ma:fieldsID="756a49394ecbb9bf2deef224f3600041" ns2:_="" ns3:_="">
    <xsd:import namespace="81f317ce-352d-4398-a41e-4e5b04113dec"/>
    <xsd:import namespace="b1ea5d08-27ec-499b-b077-644de0cfa6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317ce-352d-4398-a41e-4e5b04113d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b2aab8-c0bd-4d57-9ba0-860eca1ae55e}" ma:internalName="TaxCatchAll" ma:showField="CatchAllData" ma:web="81f317ce-352d-4398-a41e-4e5b04113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a5d08-27ec-499b-b077-644de0cfa6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D2AC-D33B-4BC6-B684-C336258D4FC5}">
  <ds:schemaRefs>
    <ds:schemaRef ds:uri="http://schemas.microsoft.com/office/2006/metadata/properties"/>
    <ds:schemaRef ds:uri="http://schemas.microsoft.com/office/infopath/2007/PartnerControls"/>
    <ds:schemaRef ds:uri="81f317ce-352d-4398-a41e-4e5b04113dec"/>
    <ds:schemaRef ds:uri="b1ea5d08-27ec-499b-b077-644de0cfa688"/>
  </ds:schemaRefs>
</ds:datastoreItem>
</file>

<file path=customXml/itemProps2.xml><?xml version="1.0" encoding="utf-8"?>
<ds:datastoreItem xmlns:ds="http://schemas.openxmlformats.org/officeDocument/2006/customXml" ds:itemID="{346B737E-F7A3-45DF-AB06-CD86854CD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317ce-352d-4398-a41e-4e5b04113dec"/>
    <ds:schemaRef ds:uri="b1ea5d08-27ec-499b-b077-644de0cfa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AE77-546C-4389-B73E-FCA954C8BC68}">
  <ds:schemaRefs>
    <ds:schemaRef ds:uri="http://schemas.microsoft.com/sharepoint/v3/contenttype/forms"/>
  </ds:schemaRefs>
</ds:datastoreItem>
</file>

<file path=customXml/itemProps4.xml><?xml version="1.0" encoding="utf-8"?>
<ds:datastoreItem xmlns:ds="http://schemas.openxmlformats.org/officeDocument/2006/customXml" ds:itemID="{18CC81DE-4BE2-485B-9C3C-4E120E5977A4}">
  <ds:schemaRefs>
    <ds:schemaRef ds:uri="http://schemas.openxmlformats.org/officeDocument/2006/bibliography"/>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Chemical Spills, Releases,  Explosions, Exposures or Injuries (includes corrosive, reactive, flammable, and toxic chemicals  i</vt:lpstr>
    </vt:vector>
  </TitlesOfParts>
  <Company>The Pennsylvania State University</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Spills, Releases,  Explosions, Exposures or Injuries (includes corrosive, reactive, flammable, and toxic chemicals  i</dc:title>
  <dc:subject/>
  <dc:creator>SPEAKER</dc:creator>
  <cp:keywords/>
  <cp:lastModifiedBy>Auman, Bonnie C</cp:lastModifiedBy>
  <cp:revision>3</cp:revision>
  <dcterms:created xsi:type="dcterms:W3CDTF">2024-01-05T21:24:00Z</dcterms:created>
  <dcterms:modified xsi:type="dcterms:W3CDTF">2024-01-05T21:27:00Z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0x010100E4C7408DF40A8749A22C1B1465469FFF</vt:lpwstr>
  </property>
  <property fmtid="{D5CDD505-2E9C-101B-9397-08002B2CF9AE}" pid="3" name="Order">
    <vt:r8>165600</vt:r8>
  </property>
  <property fmtid="{D5CDD505-2E9C-101B-9397-08002B2CF9AE}" pid="4" name="MediaServiceImageTags">
    <vt:lpwstr/>
  </property>
</Properties>
</file>